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C1" w:rsidRDefault="00C9379A">
      <w:pPr>
        <w:pStyle w:val="a5"/>
        <w:rPr>
          <w:rStyle w:val="10"/>
          <w:rFonts w:ascii="黑体" w:eastAsia="黑体" w:hAnsi="黑体" w:cs="黑体"/>
        </w:rPr>
      </w:pPr>
      <w:bookmarkStart w:id="0" w:name="_Toc72947147"/>
      <w:bookmarkStart w:id="1" w:name="_Toc82955700"/>
      <w:r>
        <w:rPr>
          <w:rStyle w:val="10"/>
          <w:rFonts w:ascii="黑体" w:eastAsia="黑体" w:hAnsi="黑体" w:cs="黑体" w:hint="eastAsia"/>
        </w:rPr>
        <w:t>本科生和研究生课程打通方案</w:t>
      </w:r>
      <w:bookmarkEnd w:id="0"/>
      <w:bookmarkEnd w:id="1"/>
      <w:r w:rsidR="00F53917">
        <w:rPr>
          <w:rStyle w:val="10"/>
          <w:rFonts w:ascii="黑体" w:eastAsia="黑体" w:hAnsi="黑体" w:cs="黑体" w:hint="eastAsia"/>
        </w:rPr>
        <w:t>（</w:t>
      </w:r>
      <w:bookmarkStart w:id="2" w:name="_GoBack"/>
      <w:bookmarkEnd w:id="2"/>
      <w:r w:rsidR="00F53917">
        <w:rPr>
          <w:rStyle w:val="10"/>
          <w:rFonts w:ascii="黑体" w:eastAsia="黑体" w:hAnsi="黑体" w:cs="黑体" w:hint="eastAsia"/>
        </w:rPr>
        <w:t>理学）</w:t>
      </w:r>
    </w:p>
    <w:tbl>
      <w:tblPr>
        <w:tblW w:w="4399" w:type="pct"/>
        <w:jc w:val="center"/>
        <w:tblLayout w:type="fixed"/>
        <w:tblLook w:val="04A0" w:firstRow="1" w:lastRow="0" w:firstColumn="1" w:lastColumn="0" w:noHBand="0" w:noVBand="1"/>
      </w:tblPr>
      <w:tblGrid>
        <w:gridCol w:w="849"/>
        <w:gridCol w:w="1275"/>
        <w:gridCol w:w="3476"/>
        <w:gridCol w:w="708"/>
        <w:gridCol w:w="708"/>
        <w:gridCol w:w="1154"/>
      </w:tblGrid>
      <w:tr w:rsidR="00A936C1" w:rsidTr="00C10FCF">
        <w:trPr>
          <w:jc w:val="center"/>
        </w:trPr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b/>
              </w:rPr>
            </w:pPr>
            <w:r>
              <w:rPr>
                <w:b/>
              </w:rPr>
              <w:t>类别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b/>
              </w:rPr>
            </w:pPr>
            <w:r>
              <w:rPr>
                <w:b/>
              </w:rPr>
              <w:t>课程编码</w:t>
            </w:r>
          </w:p>
        </w:tc>
        <w:tc>
          <w:tcPr>
            <w:tcW w:w="2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b/>
              </w:rPr>
            </w:pPr>
            <w:r>
              <w:rPr>
                <w:b/>
              </w:rPr>
              <w:t>课程名称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b/>
              </w:rPr>
            </w:pPr>
            <w:r>
              <w:rPr>
                <w:b/>
              </w:rPr>
              <w:t>学分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b/>
              </w:rPr>
            </w:pPr>
            <w:r>
              <w:rPr>
                <w:b/>
              </w:rPr>
              <w:t>学时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b/>
              </w:rPr>
            </w:pPr>
            <w:r>
              <w:rPr>
                <w:rFonts w:hint="eastAsia"/>
                <w:b/>
              </w:rPr>
              <w:t>研究生</w:t>
            </w:r>
            <w:r>
              <w:rPr>
                <w:b/>
              </w:rPr>
              <w:t>开课学期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rFonts w:hint="eastAsia"/>
              </w:rPr>
              <w:t>专业方向</w:t>
            </w:r>
            <w:r>
              <w:t>课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1"/>
              </w:rPr>
              <w:t>A110201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实变函数论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专业</w:t>
            </w:r>
            <w:r>
              <w:rPr>
                <w:rFonts w:hint="eastAsia"/>
              </w:rPr>
              <w:t>拓展</w:t>
            </w:r>
            <w:r>
              <w:t>课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A11021</w:t>
            </w:r>
            <w:r>
              <w:rPr>
                <w:rFonts w:hint="eastAsia"/>
              </w:rPr>
              <w:t>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高等统计学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rFonts w:hint="eastAsia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rFonts w:hint="eastAsia"/>
              </w:rPr>
              <w:t>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A110203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应用随机过程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3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szCs w:val="22"/>
              </w:rPr>
            </w:pPr>
            <w:r>
              <w:rPr>
                <w:szCs w:val="22"/>
              </w:rPr>
              <w:t>A110211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专业英语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  <w:rPr>
                <w:szCs w:val="22"/>
              </w:rPr>
            </w:pPr>
            <w:r>
              <w:rPr>
                <w:szCs w:val="22"/>
              </w:rPr>
              <w:t>A110204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时间序列分析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A110205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统计软件与数据挖掘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A110206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精算数学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A110207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机器学习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A110209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金融统计分析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A110213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1"/>
              </w:rPr>
              <w:t>大数据分析统计建模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A110208</w:t>
            </w:r>
          </w:p>
        </w:tc>
        <w:tc>
          <w:tcPr>
            <w:tcW w:w="2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rPr>
                <w:szCs w:val="22"/>
              </w:rPr>
              <w:t>应用随机分析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P110103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统计调查理论与实务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A110310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宏观经济统计分析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A936C1" w:rsidRDefault="00C9379A">
            <w:pPr>
              <w:pStyle w:val="-"/>
            </w:pPr>
            <w:r>
              <w:t>A010104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中级计量经济学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48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A110304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R</w:t>
            </w:r>
            <w:r>
              <w:t>语言与数据挖掘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A936C1" w:rsidRDefault="00C9379A">
            <w:pPr>
              <w:pStyle w:val="-"/>
            </w:pPr>
            <w:r>
              <w:t>A110303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应用数理统计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1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A110305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应用多元统计分析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A936C1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6C1" w:rsidRDefault="00A936C1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A936C1" w:rsidRDefault="00C9379A">
            <w:pPr>
              <w:pStyle w:val="-"/>
            </w:pPr>
            <w:r>
              <w:t>A110306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金融时间序列分析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A936C1" w:rsidRDefault="00C9379A">
            <w:pPr>
              <w:pStyle w:val="-"/>
            </w:pPr>
            <w:r>
              <w:t>2</w:t>
            </w:r>
          </w:p>
        </w:tc>
      </w:tr>
      <w:tr w:rsidR="006715CC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C" w:rsidRDefault="006715CC" w:rsidP="006715CC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P110106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统计机器学习方法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1</w:t>
            </w:r>
          </w:p>
        </w:tc>
      </w:tr>
      <w:tr w:rsidR="006715CC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C" w:rsidRDefault="006715CC" w:rsidP="006715CC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P110105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质性研究方法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2</w:t>
            </w:r>
          </w:p>
        </w:tc>
      </w:tr>
      <w:tr w:rsidR="006715CC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C" w:rsidRDefault="006715CC" w:rsidP="006715CC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6715CC" w:rsidRDefault="006715CC" w:rsidP="006715CC">
            <w:pPr>
              <w:pStyle w:val="-"/>
            </w:pPr>
            <w:r>
              <w:t>A110313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统计学</w:t>
            </w:r>
            <w:proofErr w:type="gramStart"/>
            <w:r>
              <w:t>前沿方法</w:t>
            </w:r>
            <w:proofErr w:type="gramEnd"/>
            <w:r>
              <w:t>研究专题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3</w:t>
            </w:r>
          </w:p>
        </w:tc>
      </w:tr>
      <w:tr w:rsidR="006715CC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CC" w:rsidRDefault="006715CC" w:rsidP="006715CC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A110311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经济统计研究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6715CC" w:rsidRDefault="006715CC" w:rsidP="006715CC">
            <w:pPr>
              <w:pStyle w:val="-"/>
            </w:pPr>
            <w:r>
              <w:t>1</w:t>
            </w:r>
          </w:p>
        </w:tc>
      </w:tr>
      <w:tr w:rsidR="00C10FCF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C10FCF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t>P11011</w:t>
            </w:r>
            <w:r>
              <w:rPr>
                <w:rFonts w:hint="eastAsia"/>
              </w:rPr>
              <w:t>2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rPr>
                <w:rFonts w:hint="eastAsia"/>
              </w:rPr>
              <w:t>复杂数据统计方法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t>32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rPr>
                <w:rFonts w:hint="eastAsia"/>
              </w:rPr>
              <w:t>2</w:t>
            </w:r>
          </w:p>
        </w:tc>
      </w:tr>
      <w:tr w:rsidR="00C10FCF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C10FCF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rPr>
                <w:rFonts w:hint="eastAsia"/>
              </w:rPr>
              <w:t>A</w:t>
            </w:r>
            <w:r>
              <w:t>110314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>
              <w:rPr>
                <w:rFonts w:hint="eastAsia"/>
              </w:rPr>
              <w:t>英语文献导读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</w:p>
        </w:tc>
      </w:tr>
      <w:tr w:rsidR="00C10FCF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C10FCF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 w:rsidRPr="00481247">
              <w:rPr>
                <w:color w:val="000000" w:themeColor="text1"/>
              </w:rPr>
              <w:t>P110104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 w:rsidRPr="00481247">
              <w:rPr>
                <w:rFonts w:hint="eastAsia"/>
                <w:color w:val="000000" w:themeColor="text1"/>
              </w:rPr>
              <w:t>商务与经济统计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 w:rsidRPr="00481247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 w:rsidRPr="00481247">
              <w:rPr>
                <w:rFonts w:hint="eastAsia"/>
                <w:color w:val="000000" w:themeColor="text1"/>
              </w:rPr>
              <w:t>3</w:t>
            </w:r>
            <w:r w:rsidRPr="00481247">
              <w:rPr>
                <w:color w:val="000000" w:themeColor="text1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Default="00C10FCF" w:rsidP="00C10FCF">
            <w:pPr>
              <w:pStyle w:val="-"/>
            </w:pPr>
            <w:r w:rsidRPr="00481247">
              <w:rPr>
                <w:rFonts w:hint="eastAsia"/>
                <w:color w:val="000000" w:themeColor="text1"/>
              </w:rPr>
              <w:t>1</w:t>
            </w:r>
          </w:p>
        </w:tc>
      </w:tr>
      <w:tr w:rsidR="00C10FCF" w:rsidTr="00C10FCF">
        <w:trPr>
          <w:trHeight w:val="20"/>
          <w:jc w:val="center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FCF" w:rsidRDefault="00C10FCF" w:rsidP="00C10FCF">
            <w:pPr>
              <w:pStyle w:val="-"/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bottom"/>
          </w:tcPr>
          <w:p w:rsidR="00C10FCF" w:rsidRPr="00481247" w:rsidRDefault="00C10FCF" w:rsidP="00C10FCF">
            <w:pPr>
              <w:pStyle w:val="-"/>
            </w:pPr>
            <w:r w:rsidRPr="00481247">
              <w:rPr>
                <w:color w:val="000000" w:themeColor="text1"/>
              </w:rPr>
              <w:t>P110108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Pr="00481247" w:rsidRDefault="00C10FCF" w:rsidP="00C10FCF">
            <w:pPr>
              <w:pStyle w:val="-"/>
            </w:pPr>
            <w:r w:rsidRPr="00481247">
              <w:rPr>
                <w:rFonts w:hint="eastAsia"/>
                <w:color w:val="000000" w:themeColor="text1"/>
              </w:rPr>
              <w:t>大数据计算基础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Pr="00481247" w:rsidRDefault="00C10FCF" w:rsidP="00C10FCF">
            <w:pPr>
              <w:pStyle w:val="-"/>
            </w:pPr>
            <w:r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Pr="00481247" w:rsidRDefault="00C10FCF" w:rsidP="00C10FCF">
            <w:pPr>
              <w:pStyle w:val="-"/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C10FCF" w:rsidRPr="00481247" w:rsidRDefault="00C10FCF" w:rsidP="00C10FCF">
            <w:pPr>
              <w:pStyle w:val="-"/>
            </w:pPr>
            <w:r>
              <w:rPr>
                <w:rFonts w:hint="eastAsia"/>
                <w:color w:val="000000" w:themeColor="text1"/>
              </w:rPr>
              <w:t>1</w:t>
            </w:r>
          </w:p>
        </w:tc>
      </w:tr>
    </w:tbl>
    <w:p w:rsidR="00A936C1" w:rsidRDefault="00A936C1"/>
    <w:p w:rsidR="00A936C1" w:rsidRDefault="00A936C1">
      <w:pPr>
        <w:ind w:firstLine="0"/>
      </w:pPr>
    </w:p>
    <w:sectPr w:rsidR="00A936C1">
      <w:footerReference w:type="default" r:id="rId7"/>
      <w:pgSz w:w="11906" w:h="16838"/>
      <w:pgMar w:top="1304" w:right="1418" w:bottom="1021" w:left="1418" w:header="851" w:footer="283" w:gutter="0"/>
      <w:pgNumType w:start="1"/>
      <w:cols w:space="720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C4" w:rsidRDefault="000014C4">
      <w:r>
        <w:separator/>
      </w:r>
    </w:p>
  </w:endnote>
  <w:endnote w:type="continuationSeparator" w:id="0">
    <w:p w:rsidR="000014C4" w:rsidRDefault="0000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6C1" w:rsidRDefault="00A936C1">
    <w:pPr>
      <w:pStyle w:val="a3"/>
      <w:ind w:firstLine="0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C4" w:rsidRDefault="000014C4">
      <w:r>
        <w:separator/>
      </w:r>
    </w:p>
  </w:footnote>
  <w:footnote w:type="continuationSeparator" w:id="0">
    <w:p w:rsidR="000014C4" w:rsidRDefault="00001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CE7E82"/>
    <w:rsid w:val="000014C4"/>
    <w:rsid w:val="006715CC"/>
    <w:rsid w:val="00A936C1"/>
    <w:rsid w:val="00C10FCF"/>
    <w:rsid w:val="00C9379A"/>
    <w:rsid w:val="00D20E0F"/>
    <w:rsid w:val="00F53917"/>
    <w:rsid w:val="07624609"/>
    <w:rsid w:val="212C1100"/>
    <w:rsid w:val="294E78C2"/>
    <w:rsid w:val="2E2E7F5D"/>
    <w:rsid w:val="3E95799F"/>
    <w:rsid w:val="3ECE2C8D"/>
    <w:rsid w:val="406C2E26"/>
    <w:rsid w:val="51CE7E82"/>
    <w:rsid w:val="5EE40B9B"/>
    <w:rsid w:val="75A91B22"/>
    <w:rsid w:val="7A84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303676F-1CB1-4383-A913-1FEE5DE5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firstLine="482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after="120"/>
      <w:ind w:firstLine="0"/>
      <w:jc w:val="center"/>
      <w:outlineLvl w:val="0"/>
    </w:pPr>
    <w:rPr>
      <w:rFonts w:ascii="方正小标宋简体" w:eastAsia="方正小标宋简体"/>
      <w:b/>
      <w:caps/>
      <w:color w:val="000000"/>
      <w:spacing w:val="20"/>
      <w:kern w:val="0"/>
      <w:sz w:val="84"/>
      <w:szCs w:val="20"/>
    </w:rPr>
  </w:style>
  <w:style w:type="paragraph" w:styleId="2">
    <w:name w:val="heading 2"/>
    <w:basedOn w:val="a"/>
    <w:next w:val="a"/>
    <w:uiPriority w:val="9"/>
    <w:qFormat/>
    <w:pPr>
      <w:widowControl/>
      <w:spacing w:beforeLines="50" w:before="50" w:afterLines="50" w:after="50"/>
      <w:ind w:firstLineChars="200" w:firstLine="200"/>
      <w:jc w:val="left"/>
      <w:outlineLvl w:val="1"/>
    </w:pPr>
    <w:rPr>
      <w:rFonts w:ascii="Cambria" w:hAnsi="Cambria"/>
      <w:b/>
      <w:caps/>
      <w:color w:val="000000"/>
      <w:spacing w:val="15"/>
      <w:kern w:val="0"/>
      <w:sz w:val="24"/>
      <w:szCs w:val="20"/>
      <w:lang w:eastAsia="en-US"/>
    </w:rPr>
  </w:style>
  <w:style w:type="paragraph" w:styleId="4">
    <w:name w:val="heading 4"/>
    <w:basedOn w:val="2"/>
    <w:next w:val="a"/>
    <w:qFormat/>
    <w:pPr>
      <w:spacing w:beforeLines="0" w:before="0" w:afterLines="0" w:after="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widowControl/>
      <w:tabs>
        <w:tab w:val="center" w:pos="4153"/>
        <w:tab w:val="right" w:pos="8306"/>
      </w:tabs>
      <w:snapToGrid w:val="0"/>
      <w:spacing w:after="200" w:line="252" w:lineRule="auto"/>
      <w:jc w:val="left"/>
    </w:pPr>
    <w:rPr>
      <w:rFonts w:ascii="Cambria" w:hAnsi="Cambria"/>
      <w:kern w:val="0"/>
      <w:sz w:val="18"/>
      <w:szCs w:val="18"/>
      <w:lang w:eastAsia="en-US"/>
    </w:rPr>
  </w:style>
  <w:style w:type="character" w:styleId="a4">
    <w:name w:val="Emphasis"/>
    <w:qFormat/>
    <w:rPr>
      <w:rFonts w:ascii="Times New Roman" w:eastAsia="仿宋" w:hAnsi="Times New Roman"/>
      <w:sz w:val="24"/>
    </w:rPr>
  </w:style>
  <w:style w:type="paragraph" w:customStyle="1" w:styleId="a5">
    <w:name w:val="【专业】"/>
    <w:basedOn w:val="1"/>
    <w:qFormat/>
    <w:pPr>
      <w:outlineLvl w:val="1"/>
    </w:pPr>
    <w:rPr>
      <w:rFonts w:ascii="Times New Roman"/>
      <w:sz w:val="32"/>
    </w:rPr>
  </w:style>
  <w:style w:type="character" w:customStyle="1" w:styleId="10">
    <w:name w:val="标题 1 字符"/>
    <w:qFormat/>
    <w:rPr>
      <w:bCs/>
      <w:kern w:val="2"/>
      <w:sz w:val="32"/>
      <w:szCs w:val="32"/>
    </w:rPr>
  </w:style>
  <w:style w:type="paragraph" w:customStyle="1" w:styleId="-">
    <w:name w:val="【表格-使用】"/>
    <w:basedOn w:val="a"/>
    <w:qFormat/>
    <w:pPr>
      <w:ind w:firstLine="0"/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Maggie</dc:creator>
  <cp:lastModifiedBy>xy huang</cp:lastModifiedBy>
  <cp:revision>5</cp:revision>
  <dcterms:created xsi:type="dcterms:W3CDTF">2021-10-11T01:46:00Z</dcterms:created>
  <dcterms:modified xsi:type="dcterms:W3CDTF">2022-03-07T00:37:00Z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EC5B0DCF49C345D99273FFCA5394FCB2</vt:lpwstr>
  </property>
</Properties>
</file>